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rPr>
          <w:cantSplit w:val="false"/>
        </w:trPr>
        <w:tc>
          <w:tcPr>
            <w:tcW w:w="104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tbl>
            <w:tblPr>
              <w:jc w:val="left"/>
              <w:tblInd w:w="0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  <w:right w:val="nil"/>
                <w:insideV w:val="nil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</w:tblPr>
            <w:tblGrid>
              <w:gridCol w:w="1837"/>
              <w:gridCol w:w="6256"/>
              <w:gridCol w:w="2325"/>
            </w:tblGrid>
            <w:tr>
              <w:trPr>
                <w:trHeight w:val="1694" w:hRule="atLeast"/>
                <w:cantSplit w:val="false"/>
              </w:trPr>
              <w:tc>
                <w:tcPr>
                  <w:tcW w:w="183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  <w:right w:val="nil"/>
                    <w:insideV w:val="nil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Lfej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</w:t>
                  </w:r>
                </w:p>
                <w:p>
                  <w:pPr>
                    <w:pStyle w:val="Lfej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695325" cy="619125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Lfej"/>
                    <w:jc w:val="center"/>
                    <w:rPr>
                      <w:rFonts w:eastAsia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Év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Kórháza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2010.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6256" w:type="dxa"/>
                  <w:tcBorders>
                    <w:top w:val="single" w:sz="4" w:space="0" w:color="000080"/>
                    <w:left w:val="single" w:sz="4" w:space="0" w:color="000080"/>
                    <w:bottom w:val="double" w:sz="2" w:space="0" w:color="000080"/>
                    <w:insideH w:val="double" w:sz="2" w:space="0" w:color="000080"/>
                    <w:right w:val="nil"/>
                    <w:insideV w:val="nil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TÁJÉKOZTATÓ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ÉS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BELEEGYEZŐ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NYILATKOZAT</w:t>
                  </w:r>
                </w:p>
                <w:p>
                  <w:pPr>
                    <w:pStyle w:val="Cmsor1"/>
                    <w:tabs>
                      <w:tab w:val="left" w:pos="0" w:leader="none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/>
                    <w:tabs>
                      <w:tab w:val="left" w:pos="0" w:leader="none"/>
                    </w:tabs>
                    <w:ind w:left="0" w:right="0" w:hanging="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/>
                    <w:tabs>
                      <w:tab w:val="left" w:pos="0" w:leader="none"/>
                    </w:tabs>
                    <w:ind w:left="0" w:right="0" w:hanging="0"/>
                    <w:jc w:val="center"/>
                    <w:textAlignment w:val="auto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lang w:val="hu-HU" w:eastAsia="hu-HU" w:bidi="ar-SA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lang w:val="hu-HU" w:eastAsia="hu-HU" w:bidi="ar-SA"/>
                    </w:rPr>
                    <w:t>TURP (transurethralis prostata resectio)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  <w:right w:val="single" w:sz="4" w:space="0" w:color="000080"/>
                    <w:insideV w:val="single" w:sz="4" w:space="0" w:color="000080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BS10601/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/BNY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oldal: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2/2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Változat: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>
            <w:pPr>
              <w:pStyle w:val="Normal"/>
              <w:tabs>
                <w:tab w:val="right" w:pos="10215" w:leader="none"/>
              </w:tabs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right" w:pos="10215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5045"/>
        <w:gridCol w:w="1230"/>
        <w:gridCol w:w="2303"/>
      </w:tblGrid>
      <w:tr>
        <w:trPr>
          <w:cantSplit w:val="false"/>
        </w:trPr>
        <w:tc>
          <w:tcPr>
            <w:tcW w:w="1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/>
            </w:pPr>
            <w:r>
              <w:rPr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TAJ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szám: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  <w:shd w:fill="00FF00" w:val="clear"/>
        </w:rPr>
      </w:pPr>
      <w:r>
        <w:rPr>
          <w:rFonts w:eastAsia="Times New Roman" w:cs="Times New Roman"/>
          <w:color w:val="000000"/>
          <w:sz w:val="22"/>
          <w:szCs w:val="22"/>
          <w:shd w:fill="00FF00" w:val="clear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Aláírásommal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megerősítve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kinyílvánítom,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betegségem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természetéről,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gyógykezelésem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részleteiről,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különösen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pedig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gyógyulási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kilátásaimról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kívánok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részletes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felvilágosítást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kapni.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Ezért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döntéseket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kezelőorvosomra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bízom.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(Ezt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nyilatkozatot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elfogadása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kézírásával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megismételten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majd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aláírva,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erősítse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megerősítő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hiányában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tájékoztatásról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color w:val="000000"/>
          <w:sz w:val="22"/>
          <w:szCs w:val="22"/>
        </w:rPr>
        <w:t>való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lemondása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érvénytelen.)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II.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1./</w:t>
        <w:tab/>
        <w:t>Az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Ön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betegsége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,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beavatkozás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indoka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(</w:t>
      </w:r>
      <w:r>
        <w:rPr>
          <w:rFonts w:cs="Times New Roman"/>
          <w:color w:val="000000"/>
          <w:sz w:val="22"/>
          <w:szCs w:val="22"/>
        </w:rPr>
        <w:t>amennyiben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már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ismert)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>magyarul/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latinul: 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color w:val="000000"/>
          <w:sz w:val="22"/>
          <w:szCs w:val="22"/>
          <w:lang w:eastAsia="hu-HU" w:bidi="ar-SA"/>
        </w:rPr>
      </w:pPr>
      <w:r>
        <w:rPr>
          <w:rFonts w:cs="Times New Roman"/>
          <w:color w:val="000000"/>
          <w:sz w:val="22"/>
          <w:szCs w:val="22"/>
          <w:lang w:eastAsia="hu-HU" w:bidi="ar-SA"/>
        </w:rPr>
        <w:t>…</w:t>
      </w:r>
      <w:r>
        <w:rPr>
          <w:rFonts w:cs="Times New Roman"/>
          <w:color w:val="000000"/>
          <w:sz w:val="22"/>
          <w:szCs w:val="22"/>
          <w:lang w:eastAsia="hu-HU" w:bidi="ar-SA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color w:val="000000"/>
          <w:sz w:val="22"/>
          <w:szCs w:val="22"/>
          <w:lang w:eastAsia="hu-HU" w:bidi="ar-SA"/>
        </w:rPr>
      </w:pPr>
      <w:r>
        <w:rPr>
          <w:rFonts w:cs="Times New Roman"/>
          <w:color w:val="000000"/>
          <w:sz w:val="22"/>
          <w:szCs w:val="22"/>
          <w:lang w:eastAsia="hu-HU" w:bidi="ar-SA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</w:pPr>
      <w:r>
        <w:rPr>
          <w:rFonts w:cs="Times New Roman"/>
          <w:sz w:val="22"/>
          <w:szCs w:val="22"/>
        </w:rPr>
        <w:t>2./</w:t>
        <w:tab/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javasolt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vizsgálat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/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beavatkozás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/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műtét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/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gyógymód,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mely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latinul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/magyarul: </w:t>
      </w: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>TURP (transurethralis prostata resectio), a húgycsövön keresztül bevezetett eszközzel a prosztata egy részét (elektromos kaccsal történő szeletelés után) eltávolítják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</w:pPr>
      <w:r>
        <w:rPr>
          <w:rFonts w:cs="Times New Roman"/>
          <w:b/>
          <w:bCs/>
          <w:color w:val="000000"/>
          <w:sz w:val="22"/>
          <w:szCs w:val="22"/>
          <w:lang w:eastAsia="hu-HU" w:bidi="ar-SA"/>
        </w:rPr>
        <w:t>Célja:</w:t>
      </w: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>A vizelési panaszok megszüntetése, a vizelési képesség helyreállítása. Pontos szövettani eredmény a tovább</w:t>
      </w: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>i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>gyógykezelés pontos meghatározásához.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menete</w:t>
      </w:r>
      <w:r>
        <w:rPr>
          <w:rFonts w:cs="Times New Roman"/>
          <w:b/>
          <w:bCs/>
          <w:sz w:val="22"/>
          <w:szCs w:val="22"/>
        </w:rPr>
        <w:t>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Cs/>
          <w:color w:val="000000"/>
          <w:sz w:val="22"/>
          <w:szCs w:val="22"/>
          <w:lang w:eastAsia="hu-HU" w:bidi="ar-SA"/>
        </w:rPr>
        <w:t>A műtét</w:t>
      </w:r>
      <w:r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 és a műtét utáni időszakban az ellátás a szakma szabályai szerint történik. A műtétet a megfelelő eszközzel a húgycsövön keresztül végezzük, általános érzéstelenítésben. A műtét után a beteg néhány napig katétert visel, ami biztosítja a vizelet szabad elfolyását a hólyagból, és vérzéscsillapító feladata is van. A katéter eltávolítása után a beteg spontán, jól vizel. Addigi panaszai várhatóan megszűnnek.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hadow/>
          <w:color w:val="000000"/>
          <w:sz w:val="22"/>
          <w:szCs w:val="22"/>
          <w:lang w:eastAsia="hu-HU" w:bidi="ar-SA"/>
        </w:rPr>
      </w:pPr>
      <w:r>
        <w:rPr>
          <w:rFonts w:cs="Times New Roman"/>
          <w:sz w:val="22"/>
          <w:szCs w:val="22"/>
        </w:rPr>
        <w:t>2/a.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vizsgálat/beavatkozás/műtét/gyógymód/kockázata,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szövődményei:</w:t>
      </w:r>
      <w:r>
        <w:rPr>
          <w:rFonts w:eastAsia="Times New Roman" w:cs="Times New Roman"/>
          <w:shadow/>
          <w:sz w:val="22"/>
          <w:szCs w:val="22"/>
        </w:rPr>
        <w:t xml:space="preserve"> </w:t>
      </w:r>
      <w:r>
        <w:rPr>
          <w:rFonts w:eastAsia="Times New Roman" w:cs="Times New Roman"/>
          <w:shadow/>
          <w:color w:val="000000"/>
          <w:sz w:val="22"/>
          <w:szCs w:val="22"/>
          <w:lang w:eastAsia="hu-HU" w:bidi="ar-SA"/>
        </w:rPr>
        <w:t xml:space="preserve">vérzés, prosztata tok sérülése, húgycsősérülés, hólyagsérülés,  vesevezeték beszájadzásának a sérülése,  hasi szervek sérülése, gyulladása,  műtét folytatása nyílt műtéttel,  TUR syndroma: szív-, keringési és veseelégtelenség, agyi működési zavar </w:t>
      </w:r>
    </w:p>
    <w:p>
      <w:pPr>
        <w:pStyle w:val="Normal"/>
        <w:widowControl/>
        <w:ind w:left="0" w:right="0" w:hanging="0"/>
        <w:jc w:val="both"/>
        <w:rPr>
          <w:rFonts w:cs="Times New Roman"/>
          <w:color w:val="000000"/>
          <w:sz w:val="22"/>
          <w:szCs w:val="22"/>
          <w:lang w:eastAsia="hu-HU" w:bidi="ar-SA"/>
        </w:rPr>
      </w:pPr>
      <w:r>
        <w:rPr>
          <w:rFonts w:cs="Times New Roman"/>
          <w:b/>
          <w:bCs/>
          <w:color w:val="000000"/>
          <w:sz w:val="22"/>
          <w:szCs w:val="22"/>
          <w:lang w:eastAsia="hu-HU" w:bidi="ar-SA"/>
        </w:rPr>
        <w:t>Késői szövődmények:</w:t>
      </w:r>
      <w:r>
        <w:rPr>
          <w:rFonts w:cs="Times New Roman"/>
          <w:color w:val="000000"/>
          <w:sz w:val="22"/>
          <w:szCs w:val="22"/>
          <w:lang w:eastAsia="hu-HU" w:bidi="ar-SA"/>
        </w:rPr>
        <w:t xml:space="preserve">  vizelettartási zavar,  hólyag-, húgycsőgyulladás,  here-, mellékhere gyulladás,  sikertelen vagy részleges eredményű műtét,  húgycsőszűkület,  az ondó mennyiségének csökkenése, az ondó ürülésének elmaradása,  merevedési zavar </w:t>
      </w:r>
    </w:p>
    <w:p>
      <w:pPr>
        <w:pStyle w:val="Normal"/>
        <w:tabs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>
          <w:rFonts w:cs="Times New Roman"/>
          <w:b/>
          <w:bCs/>
          <w:color w:val="FF0000"/>
          <w:sz w:val="22"/>
          <w:szCs w:val="22"/>
          <w:lang w:eastAsia="hu-HU" w:bidi="ar-SA"/>
        </w:rPr>
      </w:pPr>
      <w:r>
        <w:rPr>
          <w:rFonts w:cs="Times New Roman"/>
          <w:b/>
          <w:bCs/>
          <w:color w:val="FF0000"/>
          <w:sz w:val="22"/>
          <w:szCs w:val="22"/>
          <w:lang w:eastAsia="hu-HU" w:bidi="ar-SA"/>
        </w:rPr>
      </w:r>
    </w:p>
    <w:p>
      <w:pPr>
        <w:pStyle w:val="Normal"/>
        <w:jc w:val="both"/>
        <w:rPr>
          <w:rFonts w:eastAsia="Times New Roman" w:cs="Times New Roman"/>
          <w:shadow/>
          <w:sz w:val="22"/>
          <w:szCs w:val="22"/>
        </w:rPr>
      </w:pPr>
      <w:r>
        <w:rPr>
          <w:rFonts w:cs="Times New Roman"/>
          <w:sz w:val="22"/>
          <w:szCs w:val="22"/>
        </w:rPr>
        <w:t>2/b.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beavatkozás/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elmaradásának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lehetséges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következményei:</w:t>
      </w:r>
      <w:r>
        <w:rPr>
          <w:rFonts w:eastAsia="Times New Roman" w:cs="Times New Roman"/>
          <w:shadow/>
          <w:sz w:val="22"/>
          <w:szCs w:val="22"/>
        </w:rPr>
        <w:t xml:space="preserve"> </w:t>
      </w:r>
    </w:p>
    <w:p>
      <w:pPr>
        <w:pStyle w:val="Normal"/>
        <w:widowControl/>
        <w:ind w:left="360" w:right="0" w:hanging="360"/>
        <w:jc w:val="both"/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eastAsia="hu-HU" w:bidi="ar-SA"/>
        </w:rPr>
        <w:t>a vizelési panaszok, a vizelési képtelenség fennmaradása, vesekárosodás, húgycsőgyulladás, mellékhere gyulladás.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15" w:right="0" w:hanging="315"/>
        <w:jc w:val="both"/>
        <w:rPr>
          <w:rFonts w:eastAsia="Times New Roman" w:cs="Times New Roman"/>
          <w:b w:val="false"/>
          <w:bCs w:val="false"/>
          <w:shadow/>
          <w:color w:val="000000"/>
          <w:sz w:val="22"/>
          <w:szCs w:val="22"/>
          <w:lang w:eastAsia="hu-HU" w:bidi="ar-SA"/>
        </w:rPr>
      </w:pPr>
      <w:r>
        <w:rPr>
          <w:rFonts w:cs="Times New Roman"/>
          <w:sz w:val="22"/>
          <w:szCs w:val="22"/>
        </w:rPr>
        <w:t>2/c.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Helyette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alkalmazható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gyógymódok: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shadow/>
          <w:color w:val="000000"/>
          <w:sz w:val="22"/>
          <w:szCs w:val="22"/>
          <w:lang w:eastAsia="hu-HU" w:bidi="ar-SA"/>
        </w:rPr>
        <w:t>gyógyszeres kezelés, feltárásos (nyílt) műtét, állandó katéter viselés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15" w:right="0" w:hanging="315"/>
        <w:jc w:val="both"/>
        <w:rPr>
          <w:rFonts w:cs="Times New Roman"/>
          <w:color w:val="FF0000"/>
          <w:sz w:val="22"/>
          <w:szCs w:val="22"/>
          <w:lang w:eastAsia="hu-HU" w:bidi="ar-SA"/>
        </w:rPr>
      </w:pPr>
      <w:r>
        <w:rPr>
          <w:rFonts w:cs="Times New Roman"/>
          <w:color w:val="FF0000"/>
          <w:sz w:val="22"/>
          <w:szCs w:val="22"/>
          <w:lang w:eastAsia="hu-HU" w:bidi="ar-SA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15" w:right="0" w:hanging="315"/>
        <w:jc w:val="both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3/.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kockázatairól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lehetséges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gyakoribb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következményeiről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szóban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feltett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kérdéseimre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választ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kaptam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orvosomtól,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kellő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rendelkezésemre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ahhoz,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szabadon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döntsek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milyen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szeretnék.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Tájékoztattak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kezelőorvosom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folyamatosan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engem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állapotomról,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illetve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változásairól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tájékoztatni.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Tudomásul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veszem,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szakszerű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előfordulhatnak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látható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gyógyeredményt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(gyógytartamot)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kedvezőtlenül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befolyásolhatják.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4/.Tudomásul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veszem,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jogom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felajánlott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bármelyikének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mindegyikének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elutasítására.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esetben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során,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visszautasítás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miatt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bekövetkező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szövődményekért,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illetve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gyógyeredmény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alakulásáért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azokat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orvosokat,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akiknek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kezelését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fogadtam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felelősség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alól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felmentem*.</w:t>
      </w:r>
    </w:p>
    <w:p>
      <w:pPr>
        <w:pStyle w:val="Szvegtrzsbehzssal21"/>
        <w:ind w:left="0" w:right="0" w:hanging="0"/>
        <w:rPr/>
      </w:pPr>
      <w:r>
        <w:rPr/>
      </w:r>
    </w:p>
    <w:p>
      <w:pPr>
        <w:pStyle w:val="Szvegtrzsbehzssal21"/>
        <w:ind w:left="0" w:right="0" w:hanging="0"/>
        <w:rPr/>
      </w:pPr>
      <w:r>
        <w:rPr/>
      </w:r>
    </w:p>
    <w:p>
      <w:pPr>
        <w:pStyle w:val="Szvegtrzsbehzssal21"/>
        <w:ind w:left="0" w:right="0" w:hanging="0"/>
        <w:rPr>
          <w:rFonts w:cs="Times New Roman" w:ascii="Times New Roman" w:hAnsi="Times New Roman"/>
          <w:szCs w:val="22"/>
        </w:rPr>
      </w:pPr>
      <w:r>
        <w:rPr>
          <w:rFonts w:cs="Times New Roman" w:ascii="Times New Roman" w:hAnsi="Times New Roman"/>
          <w:szCs w:val="22"/>
        </w:rPr>
        <w:t>5.)A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felvilágosítást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megértettem,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megismertem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az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ajánlott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és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szóba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jövő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kezelési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eljárás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előnyeit,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hátrányait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is, további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kérdésem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nincs.</w:t>
      </w:r>
    </w:p>
    <w:p>
      <w:pPr>
        <w:pStyle w:val="Normal"/>
        <w:ind w:left="540" w:righ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felajánlott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gyógymódot*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1080" w:leader="none"/>
        </w:tabs>
        <w:ind w:left="1080" w:right="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elfogadom**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kezelésbe,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való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beleegyezésemet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minden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kényszertől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mentesem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adom.)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360"/>
        <w:jc w:val="both"/>
        <w:rPr>
          <w:rFonts w:cs="Times New Roman"/>
          <w:b/>
          <w:bCs/>
          <w:shadow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visszautasítom**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540" w:right="0" w:hanging="36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során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beavatkozás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kiterjesztésébe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(életveszély,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súlyos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egészségkárosodás,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feltárt,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előzőleg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ismert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elváltozás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esetén)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360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beleegyezem**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3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bele**</w:t>
      </w:r>
    </w:p>
    <w:p>
      <w:pPr>
        <w:pStyle w:val="Normal"/>
        <w:ind w:left="180" w:righ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c.)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ind w:left="0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**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ind w:left="0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műtőben,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kezelőben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oktatási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célból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egészségügyi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szakemberek,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tanulók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lehessenek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jelen.</w:t>
      </w:r>
    </w:p>
    <w:p>
      <w:pPr>
        <w:pStyle w:val="Normal"/>
        <w:ind w:left="18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18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d.)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ind w:left="792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beleegyezem**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ind w:left="792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menetéről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fénykép,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videofelvétel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készüljön,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azzal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kikötéssel,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felvételen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személyem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válik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felismerhetővé.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Dátum: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Szolnok,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20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4512"/>
        <w:gridCol w:w="696"/>
        <w:gridCol w:w="4388"/>
        <w:gridCol w:w="505"/>
      </w:tblGrid>
      <w:tr>
        <w:trPr>
          <w:cantSplit w:val="false"/>
        </w:trPr>
        <w:tc>
          <w:tcPr>
            <w:tcW w:w="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4512"/>
        <w:gridCol w:w="696"/>
        <w:gridCol w:w="4388"/>
        <w:gridCol w:w="505"/>
      </w:tblGrid>
      <w:tr>
        <w:trPr>
          <w:cantSplit w:val="false"/>
        </w:trPr>
        <w:tc>
          <w:tcPr>
            <w:tcW w:w="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Kezelő/műtétet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végző/orvos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aláírása,/</w:t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azonosító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bélyegzője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Beteg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/törvényes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képviselőjének/</w:t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center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nyilatkozattételre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jogosult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aláírása**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ab/>
        <w:tab/>
        <w:tab/>
        <w:tab/>
        <w:t>Törvényes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képviselő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olvasható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neve: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ab/>
        <w:tab/>
        <w:tab/>
        <w:tab/>
      </w:r>
      <w:r>
        <w:rPr>
          <w:rFonts w:eastAsia="Times New Roman" w:cs="Times New Roman"/>
          <w:color w:val="000000"/>
          <w:sz w:val="20"/>
          <w:szCs w:val="20"/>
        </w:rPr>
        <w:t>……………………………………………………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ab/>
        <w:tab/>
        <w:tab/>
        <w:tab/>
        <w:t>szül.dátum:</w:t>
      </w:r>
      <w:r>
        <w:rPr>
          <w:rFonts w:eastAsia="Times New Roman" w:cs="Times New Roman"/>
          <w:color w:val="000000"/>
          <w:sz w:val="20"/>
          <w:szCs w:val="20"/>
        </w:rPr>
        <w:t>………………………………………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beteg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szóbeli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nyilatkozat,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vagy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írásképtelensége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(++)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esetén: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Előttünk,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mint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tanuk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előtt: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4184"/>
        <w:gridCol w:w="1646"/>
        <w:gridCol w:w="3055"/>
        <w:gridCol w:w="506"/>
      </w:tblGrid>
      <w:tr>
        <w:trPr>
          <w:cantSplit w:val="false"/>
        </w:trPr>
        <w:tc>
          <w:tcPr>
            <w:tcW w:w="10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Szem.ig.szám:</w:t>
              <w:br/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eastAsia="Times New Roman"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0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……………………………………………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Szem.ig.szám: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spacing w:before="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</w:r>
    </w:p>
    <w:p>
      <w:pPr>
        <w:pStyle w:val="Szvegtrzs31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*Az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egészségügyről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szóló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1997.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évi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CLIV.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törvény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rendelkezései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alapján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cselekvőképtelenek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(pl.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gyermek)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esetében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önrendelkezési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jog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gyakorolható!</w:t>
      </w:r>
      <w:r>
        <w:rPr>
          <w:rFonts w:eastAsia="Times New Roman"/>
          <w:sz w:val="20"/>
          <w:szCs w:val="20"/>
        </w:rPr>
        <w:t xml:space="preserve"> </w:t>
      </w:r>
    </w:p>
    <w:p>
      <w:pPr>
        <w:pStyle w:val="Szvegtrzs21"/>
        <w:spacing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**A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megfelelő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rész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aláhúzandó</w:t>
      </w:r>
    </w:p>
    <w:sectPr>
      <w:type w:val="nextPage"/>
      <w:pgSz w:w="11906" w:h="16838"/>
      <w:pgMar w:left="851" w:right="851" w:header="0" w:top="555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ymbol" w:cs="Mangal"/>
      <w:color w:val="00000A"/>
      <w:sz w:val="24"/>
      <w:szCs w:val="24"/>
      <w:lang w:val="hu-HU" w:eastAsia="hu-HU" w:bidi="hi-IN"/>
    </w:rPr>
  </w:style>
  <w:style w:type="paragraph" w:styleId="Cmsor1">
    <w:name w:val="Címsor 1"/>
    <w:qFormat/>
    <w:basedOn w:val="Normal"/>
    <w:pPr>
      <w:keepNext/>
      <w:widowControl w:val="false"/>
      <w:tabs>
        <w:tab w:val="left" w:pos="0" w:leader="none"/>
      </w:tabs>
      <w:jc w:val="center"/>
      <w:outlineLvl w:val="0"/>
    </w:pPr>
    <w:rPr>
      <w:b/>
      <w:i/>
      <w:sz w:val="32"/>
      <w:lang w:eastAsia="zh-CN"/>
    </w:rPr>
  </w:style>
  <w:style w:type="paragraph" w:styleId="Cmsor2">
    <w:name w:val="Címsor 2"/>
    <w:qFormat/>
    <w:basedOn w:val="Cmsor"/>
    <w:pPr>
      <w:outlineLvl w:val="1"/>
    </w:pPr>
    <w:rPr/>
  </w:style>
  <w:style w:type="paragraph" w:styleId="Cmsor3">
    <w:name w:val="Címsor 3"/>
    <w:qFormat/>
    <w:basedOn w:val="Cmsor"/>
    <w:pPr>
      <w:outlineLvl w:val="2"/>
    </w:pPr>
    <w:rPr/>
  </w:style>
  <w:style w:type="character" w:styleId="DefaultParagraphFont" w:customStyle="1">
    <w:name w:val="Default Paragraph Font"/>
    <w:rPr/>
  </w:style>
  <w:style w:type="character" w:styleId="WW8Num2z0" w:customStyle="1">
    <w:name w:val="WW8Num2z0"/>
    <w:rPr>
      <w:b w:val="false"/>
      <w:i/>
      <w:sz w:val="24"/>
      <w:szCs w:val="24"/>
      <w:lang w:eastAsia="zh-CN"/>
    </w:rPr>
  </w:style>
  <w:style w:type="character" w:styleId="WW8Num3z0" w:customStyle="1">
    <w:name w:val="WW8Num3z0"/>
    <w:rPr>
      <w:rFonts w:ascii="Symbol" w:hAnsi="Symbol" w:cs="Symbol"/>
      <w:sz w:val="20"/>
    </w:rPr>
  </w:style>
  <w:style w:type="character" w:styleId="WW8Num4z0" w:customStyle="1">
    <w:name w:val="WW8Num4z0"/>
    <w:rPr>
      <w:rFonts w:ascii="Symbol" w:hAnsi="Symbol" w:cs="Symbol"/>
      <w:sz w:val="20"/>
    </w:rPr>
  </w:style>
  <w:style w:type="character" w:styleId="WW8Num5z0" w:customStyle="1">
    <w:name w:val="WW8Num5z0"/>
    <w:rPr>
      <w:rFonts w:ascii="Symbol" w:hAnsi="Symbol" w:cs="Symbol"/>
      <w:sz w:val="20"/>
    </w:rPr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WW8Num4z1" w:customStyle="1">
    <w:name w:val="WW8Num4z1"/>
    <w:rPr/>
  </w:style>
  <w:style w:type="character" w:styleId="WW8Num4z2" w:customStyle="1">
    <w:name w:val="WW8Num4z2"/>
    <w:rPr/>
  </w:style>
  <w:style w:type="character" w:styleId="WW8Num4z3" w:customStyle="1">
    <w:name w:val="WW8Num4z3"/>
    <w:rPr/>
  </w:style>
  <w:style w:type="character" w:styleId="WW8Num4z4" w:customStyle="1">
    <w:name w:val="WW8Num4z4"/>
    <w:rPr/>
  </w:style>
  <w:style w:type="character" w:styleId="WW8Num4z5" w:customStyle="1">
    <w:name w:val="WW8Num4z5"/>
    <w:rPr/>
  </w:style>
  <w:style w:type="character" w:styleId="WW8Num4z6" w:customStyle="1">
    <w:name w:val="WW8Num4z6"/>
    <w:rPr/>
  </w:style>
  <w:style w:type="character" w:styleId="WW8Num4z7" w:customStyle="1">
    <w:name w:val="WW8Num4z7"/>
    <w:rPr/>
  </w:style>
  <w:style w:type="character" w:styleId="WW8Num4z8" w:customStyle="1">
    <w:name w:val="WW8Num4z8"/>
    <w:rPr/>
  </w:style>
  <w:style w:type="character" w:styleId="WW8Num5z1" w:customStyle="1">
    <w:name w:val="WW8Num5z1"/>
    <w:rPr/>
  </w:style>
  <w:style w:type="character" w:styleId="WW8Num5z2" w:customStyle="1">
    <w:name w:val="WW8Num5z2"/>
    <w:rPr/>
  </w:style>
  <w:style w:type="character" w:styleId="WW8Num5z3" w:customStyle="1">
    <w:name w:val="WW8Num5z3"/>
    <w:rPr/>
  </w:style>
  <w:style w:type="character" w:styleId="WW8Num5z4" w:customStyle="1">
    <w:name w:val="WW8Num5z4"/>
    <w:rPr/>
  </w:style>
  <w:style w:type="character" w:styleId="WW8Num5z5" w:customStyle="1">
    <w:name w:val="WW8Num5z5"/>
    <w:rPr/>
  </w:style>
  <w:style w:type="character" w:styleId="WW8Num5z6" w:customStyle="1">
    <w:name w:val="WW8Num5z6"/>
    <w:rPr/>
  </w:style>
  <w:style w:type="character" w:styleId="WW8Num5z7" w:customStyle="1">
    <w:name w:val="WW8Num5z7"/>
    <w:rPr/>
  </w:style>
  <w:style w:type="character" w:styleId="WW8Num5z8" w:customStyle="1">
    <w:name w:val="WW8Num5z8"/>
    <w:rPr/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/>
  </w:style>
  <w:style w:type="character" w:styleId="WW8Num6z2" w:customStyle="1">
    <w:name w:val="WW8Num6z2"/>
    <w:rPr/>
  </w:style>
  <w:style w:type="character" w:styleId="WW8Num6z3" w:customStyle="1">
    <w:name w:val="WW8Num6z3"/>
    <w:rPr/>
  </w:style>
  <w:style w:type="character" w:styleId="WW8Num6z4" w:customStyle="1">
    <w:name w:val="WW8Num6z4"/>
    <w:rPr/>
  </w:style>
  <w:style w:type="character" w:styleId="WW8Num6z5" w:customStyle="1">
    <w:name w:val="WW8Num6z5"/>
    <w:rPr/>
  </w:style>
  <w:style w:type="character" w:styleId="WW8Num6z6" w:customStyle="1">
    <w:name w:val="WW8Num6z6"/>
    <w:rPr/>
  </w:style>
  <w:style w:type="character" w:styleId="WW8Num6z7" w:customStyle="1">
    <w:name w:val="WW8Num6z7"/>
    <w:rPr/>
  </w:style>
  <w:style w:type="character" w:styleId="WW8Num6z8" w:customStyle="1">
    <w:name w:val="WW8Num6z8"/>
    <w:rPr/>
  </w:style>
  <w:style w:type="character" w:styleId="Cmsor1Char" w:customStyle="1">
    <w:name w:val="Címsor 1 Char"/>
    <w:basedOn w:val="DefaultParagraphFont"/>
    <w:rPr>
      <w:rFonts w:eastAsia="Times New Roman"/>
      <w:b/>
      <w:i/>
      <w:sz w:val="32"/>
      <w:lang w:val="hu-HU" w:eastAsia="zh-CN"/>
    </w:rPr>
  </w:style>
  <w:style w:type="character" w:styleId="SzvegtrzsbehzssalChar" w:customStyle="1">
    <w:name w:val="Szövegtörzs behúzással Char"/>
    <w:basedOn w:val="DefaultParagraphFont"/>
    <w:rPr>
      <w:sz w:val="24"/>
    </w:rPr>
  </w:style>
  <w:style w:type="character" w:styleId="SzvegtrzsChar" w:customStyle="1">
    <w:name w:val="Szövegtörzs Char"/>
    <w:basedOn w:val="DefaultParagraphFont"/>
    <w:rPr>
      <w:sz w:val="24"/>
    </w:rPr>
  </w:style>
  <w:style w:type="character" w:styleId="Szvegtrzsbehzssal3Char" w:customStyle="1">
    <w:name w:val="Szövegtörzs behúzással 3 Char"/>
    <w:basedOn w:val="DefaultParagraphFont"/>
    <w:rPr>
      <w:sz w:val="16"/>
    </w:rPr>
  </w:style>
  <w:style w:type="character" w:styleId="Szvegtrzsbehzssal2Char" w:customStyle="1">
    <w:name w:val="Szövegtörzs behúzással 2 Char"/>
    <w:basedOn w:val="DefaultParagraphFont"/>
    <w:rPr>
      <w:sz w:val="24"/>
    </w:rPr>
  </w:style>
  <w:style w:type="character" w:styleId="LfejChar" w:customStyle="1">
    <w:name w:val="Élőfej Char"/>
    <w:basedOn w:val="DefaultParagraphFont"/>
    <w:rPr>
      <w:rFonts w:eastAsia="Times New Roman"/>
      <w:sz w:val="24"/>
      <w:lang w:val="hu-HU" w:eastAsia="zh-CN"/>
    </w:rPr>
  </w:style>
  <w:style w:type="character" w:styleId="ListLabel1">
    <w:name w:val="ListLabel 1"/>
    <w:rPr>
      <w:b w:val="false"/>
      <w:i/>
      <w:sz w:val="24"/>
      <w:szCs w:val="24"/>
      <w:lang w:eastAsia="zh-CN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Symbol"/>
      <w:b w:val="false"/>
      <w:i/>
      <w:sz w:val="24"/>
      <w:szCs w:val="24"/>
    </w:rPr>
  </w:style>
  <w:style w:type="character" w:styleId="ListLabel4">
    <w:name w:val="ListLabel 4"/>
    <w:rPr>
      <w:rFonts w:cs="Symbol"/>
      <w:sz w:val="20"/>
    </w:rPr>
  </w:style>
  <w:style w:type="character" w:styleId="ListLabel5">
    <w:name w:val="ListLabel 5"/>
    <w:rPr>
      <w:rFonts w:cs="Symbol"/>
      <w:b w:val="false"/>
      <w:i/>
      <w:sz w:val="24"/>
      <w:szCs w:val="24"/>
    </w:rPr>
  </w:style>
  <w:style w:type="character" w:styleId="ListLabel6">
    <w:name w:val="ListLabel 6"/>
    <w:rPr>
      <w:rFonts w:cs="Symbol"/>
      <w:sz w:val="20"/>
    </w:rPr>
  </w:style>
  <w:style w:type="character" w:styleId="ListLabel7">
    <w:name w:val="ListLabel 7"/>
    <w:rPr>
      <w:rFonts w:cs="Symbol"/>
      <w:b w:val="false"/>
      <w:i/>
      <w:sz w:val="24"/>
      <w:szCs w:val="24"/>
    </w:rPr>
  </w:style>
  <w:style w:type="character" w:styleId="ListLabel8">
    <w:name w:val="ListLabel 8"/>
    <w:rPr>
      <w:rFonts w:cs="Symbol"/>
      <w:sz w:val="20"/>
    </w:rPr>
  </w:style>
  <w:style w:type="paragraph" w:styleId="Cmsor" w:customStyle="1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  <w:jc w:val="both"/>
    </w:pPr>
    <w:rPr>
      <w:rFonts w:ascii="Arial" w:hAnsi="Arial" w:cs="Arial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rgymutat" w:customStyle="1">
    <w:name w:val="Tárgymutató"/>
    <w:basedOn w:val="Normal"/>
    <w:pPr>
      <w:suppressLineNumbers/>
    </w:pPr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DocumentMap" w:customStyle="1">
    <w:name w:val="DocumentMap"/>
    <w:pPr>
      <w:widowControl/>
      <w:suppressAutoHyphens w:val="true"/>
      <w:bidi w:val="0"/>
      <w:jc w:val="left"/>
    </w:pPr>
    <w:rPr>
      <w:rFonts w:ascii="Times New Roman" w:hAnsi="Times New Roman" w:eastAsia="Symbol" w:cs="Mangal"/>
      <w:color w:val="00000A"/>
      <w:sz w:val="20"/>
      <w:szCs w:val="24"/>
      <w:lang w:val="hu-HU" w:eastAsia="hu-HU" w:bidi="hi-IN"/>
    </w:rPr>
  </w:style>
  <w:style w:type="paragraph" w:styleId="Szvegtrzsbehzsa">
    <w:name w:val="Szövegtörzs behúzása"/>
    <w:basedOn w:val="Normal"/>
    <w:pPr>
      <w:ind w:left="360" w:right="0" w:hanging="0"/>
    </w:pPr>
    <w:rPr>
      <w:rFonts w:ascii="Arial" w:hAnsi="Arial" w:cs="Arial"/>
    </w:rPr>
  </w:style>
  <w:style w:type="paragraph" w:styleId="BodyTextIndent3" w:customStyle="1">
    <w:name w:val="Body Text Indent 3"/>
    <w:basedOn w:val="Normal"/>
    <w:pPr>
      <w:spacing w:lineRule="atLeast" w:line="360"/>
      <w:ind w:left="360" w:right="0" w:hanging="0"/>
      <w:jc w:val="both"/>
    </w:pPr>
    <w:rPr>
      <w:rFonts w:ascii="Arial" w:hAnsi="Arial" w:cs="Arial"/>
    </w:rPr>
  </w:style>
  <w:style w:type="paragraph" w:styleId="BodyTextIndent2" w:customStyle="1">
    <w:name w:val="Body Text Indent 2"/>
    <w:basedOn w:val="Normal"/>
    <w:pPr>
      <w:ind w:left="360" w:right="0" w:hanging="0"/>
      <w:jc w:val="both"/>
    </w:pPr>
    <w:rPr>
      <w:rFonts w:ascii="Arial" w:hAnsi="Arial" w:cs="Arial"/>
      <w:sz w:val="22"/>
    </w:rPr>
  </w:style>
  <w:style w:type="paragraph" w:styleId="Lfej">
    <w:name w:val="Élőfej"/>
    <w:basedOn w:val="Normal"/>
    <w:pPr>
      <w:widowControl w:val="false"/>
      <w:tabs>
        <w:tab w:val="center" w:pos="4536" w:leader="none"/>
        <w:tab w:val="right" w:pos="9072" w:leader="none"/>
      </w:tabs>
    </w:pPr>
    <w:rPr>
      <w:lang w:eastAsia="zh-CN"/>
    </w:rPr>
  </w:style>
  <w:style w:type="paragraph" w:styleId="Szvegtrzsbehzssal21" w:customStyle="1">
    <w:name w:val="Szövegtörzs behúzással 21"/>
    <w:basedOn w:val="Normal"/>
    <w:pPr>
      <w:widowControl w:val="false"/>
      <w:ind w:left="540" w:right="0" w:hanging="540"/>
    </w:pPr>
    <w:rPr>
      <w:rFonts w:ascii="Tahoma" w:hAnsi="Tahoma" w:eastAsia="Lucida Sans Unicode" w:cs="Tahoma"/>
      <w:sz w:val="22"/>
      <w:lang w:eastAsia="zh-CN"/>
    </w:rPr>
  </w:style>
  <w:style w:type="paragraph" w:styleId="Szvegtrzs31" w:customStyle="1">
    <w:name w:val="Szövegtörzs 31"/>
    <w:basedOn w:val="Normal"/>
    <w:pPr>
      <w:widowControl w:val="false"/>
      <w:jc w:val="both"/>
    </w:pPr>
    <w:rPr>
      <w:rFonts w:eastAsia="Lucida Sans Unicode" w:cs="Times New Roman"/>
      <w:b/>
      <w:sz w:val="28"/>
      <w:lang w:eastAsia="zh-CN"/>
    </w:rPr>
  </w:style>
  <w:style w:type="paragraph" w:styleId="Szvegtrzs21" w:customStyle="1">
    <w:name w:val="Szövegtörzs 21"/>
    <w:basedOn w:val="Normal"/>
    <w:pPr>
      <w:widowControl w:val="false"/>
      <w:spacing w:before="120" w:after="0"/>
      <w:jc w:val="both"/>
    </w:pPr>
    <w:rPr>
      <w:rFonts w:eastAsia="Lucida Sans Unicode" w:cs="Times New Roman"/>
      <w:sz w:val="28"/>
      <w:lang w:eastAsia="zh-CN"/>
    </w:rPr>
  </w:style>
  <w:style w:type="paragraph" w:styleId="Idzetblokk" w:customStyle="1">
    <w:name w:val="Idézetblokk"/>
    <w:basedOn w:val="Normal"/>
    <w:pPr/>
    <w:rPr/>
  </w:style>
  <w:style w:type="paragraph" w:styleId="Cm">
    <w:name w:val="Cím"/>
    <w:qFormat/>
    <w:basedOn w:val="Cmsor"/>
    <w:pPr>
      <w:jc w:val="left"/>
    </w:pPr>
    <w:rPr/>
  </w:style>
  <w:style w:type="paragraph" w:styleId="Alcm">
    <w:name w:val="Alcím"/>
    <w:qFormat/>
    <w:basedOn w:val="Cmsor"/>
    <w:pPr>
      <w:jc w:val="left"/>
    </w:pPr>
    <w:rPr/>
  </w:style>
  <w:style w:type="paragraph" w:styleId="Tblzattartalom" w:customStyle="1">
    <w:name w:val="Táblázattartalom"/>
    <w:basedOn w:val="Normal"/>
    <w:pPr/>
    <w:rPr/>
  </w:style>
  <w:style w:type="paragraph" w:styleId="Tblzatfejlc" w:customStyle="1">
    <w:name w:val="Táblázatfejléc"/>
    <w:basedOn w:val="Tblzattartalom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2017-06-24T15:33:00Z</dcterms:created>
  <dc:creator>Gerda Anett</dc:creator>
  <dc:language>hu-HU</dc:language>
  <cp:lastModifiedBy>Kriszti</cp:lastModifiedBy>
  <cp:lastPrinted>2017-04-10T09:40:00Z</cp:lastPrinted>
  <dcterms:modified xsi:type="dcterms:W3CDTF">2017-06-24T15:33:00Z</dcterms:modified>
  <cp:revision>2</cp:revision>
</cp:coreProperties>
</file>