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</w:t>
      </w:r>
    </w:p>
    <w:tbl>
      <w:tblPr>
        <w:tblW w:w="1046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466"/>
      </w:tblGrid>
      <w:tr>
        <w:trPr/>
        <w:tc>
          <w:tcPr>
            <w:tcW w:w="10466" w:type="dxa"/>
            <w:tcBorders/>
            <w:shd w:color="auto" w:fill="auto" w:val="clear"/>
          </w:tcPr>
          <w:tbl>
            <w:tblPr>
              <w:tblW w:w="10418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000"/>
            </w:tblPr>
            <w:tblGrid>
              <w:gridCol w:w="1840"/>
              <w:gridCol w:w="6257"/>
              <w:gridCol w:w="2321"/>
            </w:tblGrid>
            <w:tr>
              <w:trPr>
                <w:trHeight w:val="1694" w:hRule="atLeast"/>
              </w:trPr>
              <w:tc>
                <w:tcPr>
                  <w:tcW w:w="1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color="auto" w:fill="auto" w:val="clear"/>
                </w:tcPr>
                <w:p>
                  <w:pPr>
                    <w:pStyle w:val="Lfej"/>
                    <w:snapToGrid w:val="false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</w:rPr>
                    <w:t xml:space="preserve">     </w:t>
                  </w:r>
                </w:p>
                <w:p>
                  <w:pPr>
                    <w:pStyle w:val="Lfej"/>
                    <w:jc w:val="center"/>
                    <w:rPr>
                      <w:rFonts w:eastAsia="Times New Roman" w:cs="Times New Roman"/>
                      <w:b/>
                      <w:b/>
                      <w:sz w:val="22"/>
                      <w:szCs w:val="22"/>
                    </w:rPr>
                  </w:pPr>
                  <w:r>
                    <w:rPr/>
                    <w:drawing>
                      <wp:inline distT="0" distB="0" distL="0" distR="0">
                        <wp:extent cx="695325" cy="619125"/>
                        <wp:effectExtent l="0" t="0" r="0" b="0"/>
                        <wp:docPr id="1" name="Kép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Kép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19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Lfej"/>
                    <w:jc w:val="center"/>
                    <w:rPr>
                      <w:rFonts w:eastAsia="Times New Roman"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>„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Év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Kórháza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2010.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>”</w:t>
                  </w:r>
                </w:p>
              </w:tc>
              <w:tc>
                <w:tcPr>
                  <w:tcW w:w="6257" w:type="dxa"/>
                  <w:tcBorders>
                    <w:top w:val="single" w:sz="4" w:space="0" w:color="000080"/>
                    <w:left w:val="single" w:sz="4" w:space="0" w:color="000080"/>
                    <w:bottom w:val="double" w:sz="2" w:space="0" w:color="000080"/>
                  </w:tcBorders>
                  <w:shd w:color="auto" w:fill="auto" w:val="clear"/>
                </w:tcPr>
                <w:p>
                  <w:pPr>
                    <w:pStyle w:val="Cmsor1"/>
                    <w:numPr>
                      <w:ilvl w:val="0"/>
                      <w:numId w:val="1"/>
                    </w:numPr>
                    <w:snapToGrid w:val="false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  <w:p>
                  <w:pPr>
                    <w:pStyle w:val="Cmsor1"/>
                    <w:numPr>
                      <w:ilvl w:val="0"/>
                      <w:numId w:val="1"/>
                    </w:num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  <w:p>
                  <w:pPr>
                    <w:pStyle w:val="Cmsor1"/>
                    <w:numPr>
                      <w:ilvl w:val="0"/>
                      <w:numId w:val="1"/>
                    </w:num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i w:val="false"/>
                      <w:color w:val="000000"/>
                      <w:sz w:val="22"/>
                      <w:szCs w:val="22"/>
                    </w:rPr>
                    <w:t>TÁJÉKOZTATÓ</w:t>
                  </w:r>
                  <w:r>
                    <w:rPr>
                      <w:rFonts w:eastAsia="Times New Roman" w:cs="Times New Roman"/>
                      <w:i w:val="false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i w:val="false"/>
                      <w:color w:val="000000"/>
                      <w:sz w:val="22"/>
                      <w:szCs w:val="22"/>
                    </w:rPr>
                    <w:t>ÉS</w:t>
                  </w:r>
                  <w:r>
                    <w:rPr>
                      <w:rFonts w:eastAsia="Times New Roman" w:cs="Times New Roman"/>
                      <w:i w:val="false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i w:val="false"/>
                      <w:color w:val="000000"/>
                      <w:sz w:val="22"/>
                      <w:szCs w:val="22"/>
                    </w:rPr>
                    <w:t>BELEEGYEZŐ</w:t>
                  </w:r>
                  <w:r>
                    <w:rPr>
                      <w:rFonts w:eastAsia="Times New Roman" w:cs="Times New Roman"/>
                      <w:i w:val="false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i w:val="false"/>
                      <w:color w:val="000000"/>
                      <w:sz w:val="22"/>
                      <w:szCs w:val="22"/>
                    </w:rPr>
                    <w:t>NYILATKOZAT</w:t>
                  </w:r>
                  <w:r>
                    <w:rPr>
                      <w:rFonts w:cs="Times New Roman"/>
                      <w:sz w:val="22"/>
                      <w:szCs w:val="22"/>
                    </w:rPr>
                    <w:br/>
                  </w:r>
                </w:p>
                <w:p>
                  <w:pPr>
                    <w:pStyle w:val="Szvegtrzs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0"/>
                    </w:rPr>
                    <w:t>A vese, sz.e. a mellékvese és a környező nyirokcsomók eltávolítása (radikális nephrectomia)</w:t>
                  </w:r>
                </w:p>
              </w:tc>
              <w:tc>
                <w:tcPr>
                  <w:tcW w:w="23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color="auto" w:fill="auto" w:val="clear"/>
                </w:tcPr>
                <w:p>
                  <w:pPr>
                    <w:pStyle w:val="Lfej"/>
                    <w:snapToGrid w:val="false"/>
                    <w:jc w:val="center"/>
                    <w:rPr>
                      <w:rFonts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</w:r>
                </w:p>
                <w:p>
                  <w:pPr>
                    <w:pStyle w:val="Lfej"/>
                    <w:jc w:val="center"/>
                    <w:rPr>
                      <w:rFonts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BS10601/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>…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/BNY</w:t>
                  </w:r>
                </w:p>
                <w:p>
                  <w:pPr>
                    <w:pStyle w:val="Lfej"/>
                    <w:jc w:val="center"/>
                    <w:rPr>
                      <w:rFonts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</w:r>
                </w:p>
                <w:p>
                  <w:pPr>
                    <w:pStyle w:val="Lfej"/>
                    <w:jc w:val="center"/>
                    <w:rPr>
                      <w:rFonts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oldal: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2/2</w:t>
                  </w:r>
                </w:p>
                <w:p>
                  <w:pPr>
                    <w:pStyle w:val="Lfej"/>
                    <w:jc w:val="center"/>
                    <w:rPr>
                      <w:rFonts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Változat: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3</w:t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right" w:pos="10215" w:leader="none"/>
              </w:tabs>
              <w:rPr>
                <w:rFonts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right" w:pos="10215" w:leader="none"/>
              </w:tabs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tbl>
      <w:tblPr>
        <w:tblW w:w="10464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886"/>
        <w:gridCol w:w="5048"/>
        <w:gridCol w:w="1232"/>
        <w:gridCol w:w="2297"/>
      </w:tblGrid>
      <w:tr>
        <w:trPr/>
        <w:tc>
          <w:tcPr>
            <w:tcW w:w="188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rPr>
                <w:rFonts w:cs="Times New Roman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 w:val="22"/>
                <w:szCs w:val="22"/>
              </w:rPr>
              <w:t>Beteg</w:t>
            </w:r>
            <w:r>
              <w:rPr>
                <w:rFonts w:eastAsia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i/>
                <w:color w:val="000000"/>
                <w:sz w:val="22"/>
                <w:szCs w:val="22"/>
              </w:rPr>
              <w:t>neve:</w:t>
            </w:r>
          </w:p>
        </w:tc>
        <w:tc>
          <w:tcPr>
            <w:tcW w:w="5048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23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rPr>
                <w:rFonts w:cs="Times New Roman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 w:val="22"/>
                <w:szCs w:val="22"/>
              </w:rPr>
              <w:t>TAJ</w:t>
            </w:r>
            <w:r>
              <w:rPr>
                <w:rFonts w:eastAsia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i/>
                <w:color w:val="000000"/>
                <w:sz w:val="22"/>
                <w:szCs w:val="22"/>
              </w:rPr>
              <w:t>szám:</w:t>
            </w:r>
          </w:p>
        </w:tc>
        <w:tc>
          <w:tcPr>
            <w:tcW w:w="229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eastAsia="Times New Roman" w:cs="Times New Roman"/>
          <w:color w:val="000000"/>
          <w:sz w:val="22"/>
          <w:szCs w:val="22"/>
          <w:highlight w:val="green"/>
        </w:rPr>
      </w:pPr>
      <w:r>
        <w:rPr>
          <w:rFonts w:eastAsia="Times New Roman" w:cs="Times New Roman"/>
          <w:color w:val="000000"/>
          <w:sz w:val="22"/>
          <w:szCs w:val="22"/>
          <w:shd w:fill="00FF00" w:val="clear"/>
        </w:rPr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Aláírásommal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megerősítve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kinyílvánítom,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hogy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betegségem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természetéről,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gyógykezelésem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részleteiről,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különösen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pedig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gyógyulási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kilátásaimról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nem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kívánok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részletes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felvilágosítást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kapni.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Ezért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döntéseket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kezelőorvosomra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bízom.</w:t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spacing w:lineRule="exact" w:line="3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(Ezt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nyilatkozatot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– </w:t>
      </w:r>
      <w:r>
        <w:rPr>
          <w:rFonts w:cs="Times New Roman" w:ascii="Times New Roman" w:hAnsi="Times New Roman"/>
          <w:color w:val="000000"/>
          <w:sz w:val="22"/>
          <w:szCs w:val="22"/>
        </w:rPr>
        <w:t>elfogadása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esetén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– </w:t>
      </w:r>
      <w:r>
        <w:rPr>
          <w:rFonts w:cs="Times New Roman" w:ascii="Times New Roman" w:hAnsi="Times New Roman"/>
          <w:color w:val="000000"/>
          <w:sz w:val="22"/>
          <w:szCs w:val="22"/>
        </w:rPr>
        <w:t>kézírásával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megismételten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leírva,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majd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aláírva,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erősítse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meg.</w:t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spacing w:lineRule="exact" w:line="3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megerősítő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nyilatkozat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hiányában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tájékoztatásról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való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lemondása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érvénytelen.)</w:t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spacing w:lineRule="exact" w:line="3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/>
          <w:sz w:val="22"/>
          <w:szCs w:val="22"/>
        </w:rPr>
        <w:t>..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/>
          <w:sz w:val="22"/>
          <w:szCs w:val="22"/>
        </w:rPr>
        <w:t>..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/>
          <w:sz w:val="22"/>
          <w:szCs w:val="22"/>
        </w:rPr>
        <w:t>..</w:t>
      </w:r>
    </w:p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II.</w:t>
      </w:r>
    </w:p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hanging="300"/>
        <w:rPr/>
      </w:pPr>
      <w:r>
        <w:rPr>
          <w:rFonts w:cs="Times New Roman"/>
          <w:b w:val="false"/>
          <w:bCs w:val="false"/>
          <w:color w:val="000000"/>
          <w:sz w:val="22"/>
          <w:szCs w:val="22"/>
        </w:rPr>
        <w:t>1.</w:t>
      </w:r>
      <w:r>
        <w:rPr>
          <w:rFonts w:cs="Times New Roman"/>
          <w:b/>
          <w:color w:val="000000"/>
          <w:sz w:val="22"/>
          <w:szCs w:val="22"/>
        </w:rPr>
        <w:t>/</w:t>
        <w:tab/>
        <w:t>Az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Ön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betegsége,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a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beavatkozás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indoka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(</w:t>
      </w:r>
      <w:r>
        <w:rPr>
          <w:rFonts w:cs="Times New Roman"/>
          <w:color w:val="000000"/>
          <w:sz w:val="22"/>
          <w:szCs w:val="22"/>
        </w:rPr>
        <w:t>amennyiben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már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ismert)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magyarul/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latinul:</w:t>
      </w:r>
    </w:p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hanging="30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hanging="30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hanging="30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left="360" w:hanging="360"/>
        <w:jc w:val="both"/>
        <w:rPr/>
      </w:pPr>
      <w:r>
        <w:rPr>
          <w:rFonts w:cs="Times New Roman"/>
          <w:sz w:val="22"/>
          <w:szCs w:val="22"/>
        </w:rPr>
        <w:t>2./</w:t>
        <w:tab/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javasolt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vizsgálat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/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beavatkozás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/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műtét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/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gyógymód,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mely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latinul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/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magyarul: </w:t>
      </w:r>
      <w:r>
        <w:rPr>
          <w:color w:val="000000"/>
          <w:sz w:val="22"/>
          <w:szCs w:val="22"/>
        </w:rPr>
        <w:t>Vese, szükség esetén a mellékvese és a környező nyirokcsomók (radikális nephrectomia) eltávolítása.</w:t>
      </w:r>
    </w:p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hanging="0"/>
        <w:jc w:val="both"/>
        <w:rPr/>
      </w:pPr>
      <w:r>
        <w:rPr>
          <w:rFonts w:cs="Times New Roman"/>
          <w:b/>
          <w:bCs/>
          <w:color w:val="000000"/>
          <w:sz w:val="22"/>
          <w:szCs w:val="22"/>
        </w:rPr>
        <w:t>C</w:t>
      </w:r>
      <w:r>
        <w:rPr>
          <w:rFonts w:cs="Times New Roman"/>
          <w:b/>
          <w:bCs/>
          <w:color w:val="000000"/>
          <w:sz w:val="22"/>
          <w:szCs w:val="22"/>
        </w:rPr>
        <w:t xml:space="preserve">élja: 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>A</w:t>
      </w:r>
      <w:r>
        <w:rPr>
          <w:rFonts w:cs="Times New Roman"/>
          <w:color w:val="000000"/>
          <w:sz w:val="22"/>
          <w:szCs w:val="22"/>
        </w:rPr>
        <w:t xml:space="preserve"> vese, mellékvese és a környező nyirokcsomók eltávolítása a szakma szabályai szerint teljes daganatmentesség elérésének céljából. Csak a műtéttel van esély arra, hogy a szervezetből eltávolítsuk a daganatos sejteket. </w:t>
      </w:r>
    </w:p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rFonts w:cs="Times New Roman"/>
          <w:b/>
          <w:bCs/>
          <w:shadow/>
          <w:sz w:val="22"/>
          <w:szCs w:val="22"/>
        </w:rPr>
        <w:t>A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műtét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menete</w:t>
      </w:r>
      <w:r>
        <w:rPr>
          <w:rFonts w:cs="Times New Roman"/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>
        <w:rPr>
          <w:bCs/>
        </w:rPr>
        <w:t xml:space="preserve">Transperitonealis, vagy retroperitonealis behatolásból tárunk fel, majd felkeressük és ellátjuk a daganatos vesét ellátó ereket és a húgyvezetőt, majd eltávolítjuk a szervet, ill. szükség esetén a mellékvesét és a környező nyirokcsomókat a szakma szabályai szerint. A terület átvizsgálása és a vérzések csillapítása után kifolyócső (u.n. drain) hátrahagyása után zárjuk a sebet. </w:t>
      </w:r>
      <w:r>
        <w:rPr/>
        <w:t>Műtét utáni korai mozgatásra (mobilizációra) törekszünk. A draineket és a kathetert eltávolítjuk a szükséges időpontban. Varratszedés után várható a hazabocsátás zavartalan sebgyógyulás esetén.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hanging="0"/>
        <w:rPr/>
      </w:pPr>
      <w:r>
        <w:rPr>
          <w:rFonts w:cs="Times New Roman"/>
          <w:sz w:val="22"/>
          <w:szCs w:val="22"/>
        </w:rPr>
        <w:t>2/ a.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A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vizsgálat/beavatkozás/műtét/gyógymód/kockázata,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szövődményei:</w:t>
      </w:r>
      <w:r>
        <w:rPr>
          <w:rFonts w:eastAsia="Times New Roman" w:cs="Times New Roman"/>
          <w:shadow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Érsérülés, vérzés, fertőzés, hasi szervek sérülése: máj, lép, hasnyálmirigy, bél mellhártyasérülés, légmell kialakulása, sikertelen vagy részleges eredményű beavatkozás.</w:t>
      </w:r>
    </w:p>
    <w:p>
      <w:pPr>
        <w:pStyle w:val="Normal"/>
        <w:ind w:hanging="0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ind w:hanging="0"/>
        <w:rPr/>
      </w:pPr>
      <w:r>
        <w:rPr>
          <w:b/>
          <w:bCs/>
          <w:color w:val="000000"/>
          <w:sz w:val="22"/>
          <w:szCs w:val="22"/>
        </w:rPr>
        <w:t>Műtét utáni lehetséges szövődmények:</w:t>
      </w:r>
      <w:r>
        <w:rPr>
          <w:color w:val="000000"/>
          <w:sz w:val="22"/>
          <w:szCs w:val="22"/>
        </w:rPr>
        <w:t xml:space="preserve"> </w:t>
      </w:r>
    </w:p>
    <w:p>
      <w:pPr>
        <w:pStyle w:val="Normal"/>
        <w:ind w:left="540" w:hanging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általános: vérzés, trombózis, tüdő verőér elzáródása vérrög által, tüdőgyulladás, szívinfarktus, fektetésből származó károsodások</w:t>
      </w:r>
    </w:p>
    <w:p>
      <w:pPr>
        <w:pStyle w:val="Normal"/>
        <w:ind w:left="540" w:hanging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a műtéttel közvetlenül kapcsolatos: sikertelen vagy részleges eredményű beavatkozás, sebgennyedés, sebszétválás, tartós nyirokcsorgás, hashártyagyulladás, átmeneti veseelégtelenség, bélműködés átmeneti leállása, lázas állapot, hasnyálmirigy sipoly, hasfali sérv a daganat kiújulása. </w:t>
      </w:r>
    </w:p>
    <w:p>
      <w:pPr>
        <w:pStyle w:val="Normal"/>
        <w:ind w:left="30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left="360" w:hanging="360"/>
        <w:jc w:val="both"/>
        <w:rPr/>
      </w:pPr>
      <w:r>
        <w:rPr>
          <w:rFonts w:cs="Times New Roman"/>
          <w:sz w:val="22"/>
          <w:szCs w:val="22"/>
        </w:rPr>
        <w:t>2/b.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A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vizsgálat/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beavatkozás/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műtét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/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gyógymód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elmaradásának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lehetséges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 xml:space="preserve">következményei: </w:t>
      </w:r>
      <w:r>
        <w:rPr>
          <w:color w:val="000000"/>
          <w:sz w:val="22"/>
          <w:szCs w:val="22"/>
        </w:rPr>
        <w:t xml:space="preserve">A szervezetben maradó daganat tovább növekszik, nyomást gyakorol a környező szervekre, károsítja azok működését, fájdalmat okoz. Fiókdaganatokat képezve elárasztja a szervezetet, a fenti problémákat a szervezet más területeire is továbbterjesztve. Felhasználja a szervezet tápanyagait és így legyengülést, lesoványodást okoz. Az erekbe törő daganat, vérzéshez vezethet. 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>2/c.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Helyette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alkalmazható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gyógymódok: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Előrehaladott, nem műthető esetekben szóba jöhet a daganat ereinek elzárása érkatéterezés útján, illetve injekciós daganatellenes kezelés.</w:t>
      </w:r>
    </w:p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3/.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javasolt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gyógymód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kockázatairól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lehetséges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gyakoribb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szövődményeiről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és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várható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következményeiről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szóban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feltett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kérdéseimre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megfelelő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választ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kaptam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kezelő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orvosomtól,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és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kellő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idő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állt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rendelkezésemre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ahhoz,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hogy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szabadon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döntsek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arról,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milyen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kezelést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szeretnék.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Tájékoztattak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arról,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hogy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kezelőorvosom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folyamatosan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kész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engem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állapotomról,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illetve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annak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változásairól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megfelelően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tájékoztatni.</w:t>
      </w:r>
      <w:r>
        <w:rPr>
          <w:rFonts w:eastAsia="Times New Roman" w:cs="Times New Roman"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Tudomásul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veszem,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hogy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szakszerű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kezelés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esetén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előfordulhatnak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fenti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előre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látható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szövődmények,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melyek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várható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gyógyeredményt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(gyógytartamot)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kedvezőtlenül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befolyásolhatják.</w:t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4/.Tudomásul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veszem,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hogy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jogom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van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felajánlott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kezelések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bármelyikének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vagy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mindegyikének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elutasítására.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Ez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esetben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kezelésem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során,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visszautasítás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miatt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bekövetkező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szövődményekért,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illetve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gyógyeredmény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alakulásáért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azokat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az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orvosokat,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akiknek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kezelését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nem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fogadtam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el,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felelősség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alól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felmentem*.</w:t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zvegtrzsbehzssal21"/>
        <w:ind w:left="0" w:hanging="0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5.) A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felvilágosítást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megértettem,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megismertem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az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ajánlott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és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más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szóba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jövő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kezelési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eljárás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előnyeit,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hátrányait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is,további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kérdésem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nincs.</w:t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540" w:hanging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a.)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fentiek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alapján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felajánlott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beavatkozást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/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műtétet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/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gyógymódot*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080" w:leader="none"/>
        </w:tabs>
        <w:ind w:left="108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hadow/>
          <w:sz w:val="22"/>
          <w:szCs w:val="22"/>
        </w:rPr>
        <w:t>elfogadom**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kezelésbe,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műtétbe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való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beleegyezésemet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tájékoztatás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alapján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minden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kényszertől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mentesem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adom.)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720" w:leader="none"/>
          <w:tab w:val="left" w:pos="1134" w:leader="none"/>
        </w:tabs>
        <w:ind w:left="720" w:hanging="0"/>
        <w:jc w:val="both"/>
        <w:rPr>
          <w:rFonts w:cs="Times New Roman"/>
          <w:b/>
          <w:b/>
          <w:bCs/>
          <w:shadow/>
          <w:sz w:val="22"/>
          <w:szCs w:val="22"/>
        </w:rPr>
      </w:pPr>
      <w:r>
        <w:rPr>
          <w:rFonts w:cs="Times New Roman"/>
          <w:b/>
          <w:bCs/>
          <w:shadow/>
          <w:sz w:val="22"/>
          <w:szCs w:val="22"/>
        </w:rPr>
        <w:t>visszautasítom**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left="540" w:hanging="360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b.)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műtéti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kezelés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során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>beavatkozás</w:t>
      </w:r>
      <w:r>
        <w:rPr>
          <w:rFonts w:eastAsia="Times New Roman" w:cs="Times New Roman"/>
          <w:i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>kiterjesztésébe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(életveszély,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súlyos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egészségkárosodás,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feltárt,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előzőleg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ismert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elváltozás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esetén)</w:t>
      </w:r>
      <w:r>
        <w:rPr>
          <w:rFonts w:eastAsia="Times New Roman" w:cs="Times New Roman"/>
          <w:sz w:val="22"/>
          <w:szCs w:val="22"/>
        </w:rPr>
        <w:t xml:space="preserve"> 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720" w:leader="none"/>
          <w:tab w:val="left" w:pos="1134" w:leader="none"/>
        </w:tabs>
        <w:ind w:left="720" w:hanging="0"/>
        <w:jc w:val="both"/>
        <w:rPr>
          <w:rFonts w:eastAsia="Times New Roman"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hadow/>
          <w:sz w:val="22"/>
          <w:szCs w:val="22"/>
        </w:rPr>
        <w:t>beleegyezem**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720" w:leader="none"/>
          <w:tab w:val="left" w:pos="1134" w:leader="none"/>
        </w:tabs>
        <w:ind w:left="720" w:hanging="0"/>
        <w:jc w:val="both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nem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egyezem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bele**</w:t>
      </w:r>
    </w:p>
    <w:p>
      <w:pPr>
        <w:pStyle w:val="Normal"/>
        <w:ind w:left="18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c.)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34" w:leader="none"/>
        </w:tabs>
        <w:ind w:left="720" w:hanging="11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beleegyezem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**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34" w:leader="none"/>
        </w:tabs>
        <w:ind w:left="720" w:hanging="11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visszautasítom**</w:t>
      </w:r>
    </w:p>
    <w:p>
      <w:pPr>
        <w:pStyle w:val="Normal"/>
        <w:ind w:left="54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hogy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műtőben,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vagy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kezelőben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oktatási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célból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egészségügyi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szakemberek,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tanulók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lehessenek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jelen.</w:t>
      </w:r>
    </w:p>
    <w:p>
      <w:pPr>
        <w:pStyle w:val="Normal"/>
        <w:ind w:left="18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left="18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d.)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134" w:leader="none"/>
        </w:tabs>
        <w:ind w:left="792" w:hanging="83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beleegyezem**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134" w:leader="none"/>
        </w:tabs>
        <w:ind w:left="792" w:hanging="83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visszautasítom**</w:t>
      </w:r>
    </w:p>
    <w:p>
      <w:pPr>
        <w:pStyle w:val="Normal"/>
        <w:ind w:left="54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hogy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műtét,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vagy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beavatkozás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menetéről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fénykép,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vagy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videofelvétel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készüljön,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azzal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kikötéssel,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hogy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készült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felvételen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személyem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válik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felismerhetővé.</w:t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Dátum: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Szolnok,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20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…………………………………</w:t>
      </w:r>
      <w:r>
        <w:rPr>
          <w:rFonts w:cs="Times New Roman" w:ascii="Times New Roman" w:hAnsi="Times New Roman"/>
          <w:color w:val="000000"/>
          <w:sz w:val="22"/>
          <w:szCs w:val="22"/>
        </w:rPr>
        <w:t>..</w:t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tbl>
      <w:tblPr>
        <w:tblW w:w="1046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69"/>
        <w:gridCol w:w="4515"/>
        <w:gridCol w:w="696"/>
        <w:gridCol w:w="4393"/>
        <w:gridCol w:w="493"/>
      </w:tblGrid>
      <w:tr>
        <w:trPr/>
        <w:tc>
          <w:tcPr>
            <w:tcW w:w="369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/>
            </w:pPr>
            <w:r>
              <w:rPr/>
            </w:r>
          </w:p>
        </w:tc>
        <w:tc>
          <w:tcPr>
            <w:tcW w:w="4515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/>
            </w:pPr>
            <w:r>
              <w:rPr/>
            </w:r>
          </w:p>
        </w:tc>
        <w:tc>
          <w:tcPr>
            <w:tcW w:w="696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/>
            </w:pPr>
            <w:r>
              <w:rPr/>
            </w:r>
          </w:p>
        </w:tc>
        <w:tc>
          <w:tcPr>
            <w:tcW w:w="4393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/>
            </w:pPr>
            <w:r>
              <w:rPr/>
            </w:r>
          </w:p>
        </w:tc>
        <w:tc>
          <w:tcPr>
            <w:tcW w:w="493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tbl>
      <w:tblPr>
        <w:tblW w:w="1046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69"/>
        <w:gridCol w:w="4515"/>
        <w:gridCol w:w="696"/>
        <w:gridCol w:w="4393"/>
        <w:gridCol w:w="493"/>
      </w:tblGrid>
      <w:tr>
        <w:trPr/>
        <w:tc>
          <w:tcPr>
            <w:tcW w:w="369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/>
            </w:pPr>
            <w:r>
              <w:rPr/>
            </w:r>
          </w:p>
        </w:tc>
        <w:tc>
          <w:tcPr>
            <w:tcW w:w="4515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Kezelő/műtétet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végző/orvos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aláírása,/</w:t>
            </w:r>
          </w:p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azonosító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bélyegzője</w:t>
            </w:r>
          </w:p>
        </w:tc>
        <w:tc>
          <w:tcPr>
            <w:tcW w:w="696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/>
            </w:pPr>
            <w:r>
              <w:rPr/>
            </w:r>
          </w:p>
        </w:tc>
        <w:tc>
          <w:tcPr>
            <w:tcW w:w="4393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Beteg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/törvényes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képviselőjének/</w:t>
            </w:r>
          </w:p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nyilatkozattételre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jogosult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aláírása**</w:t>
            </w:r>
          </w:p>
        </w:tc>
        <w:tc>
          <w:tcPr>
            <w:tcW w:w="493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ab/>
        <w:tab/>
        <w:tab/>
        <w:tab/>
        <w:t>Törvényes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képviselő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olvasható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neve:</w:t>
      </w:r>
    </w:p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ab/>
        <w:tab/>
        <w:tab/>
        <w:tab/>
      </w:r>
      <w:r>
        <w:rPr>
          <w:rFonts w:eastAsia="Times New Roman" w:cs="Times New Roman"/>
          <w:color w:val="000000"/>
          <w:sz w:val="22"/>
          <w:szCs w:val="22"/>
        </w:rPr>
        <w:t>……………………………………………………</w:t>
      </w:r>
    </w:p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ab/>
        <w:tab/>
        <w:tab/>
        <w:tab/>
        <w:t>szül.dátum:</w:t>
      </w:r>
      <w:r>
        <w:rPr>
          <w:rFonts w:eastAsia="Times New Roman" w:cs="Times New Roman"/>
          <w:color w:val="000000"/>
          <w:sz w:val="22"/>
          <w:szCs w:val="22"/>
        </w:rPr>
        <w:t>………………………………………</w:t>
      </w:r>
      <w:r>
        <w:rPr>
          <w:rFonts w:cs="Times New Roman"/>
          <w:color w:val="000000"/>
          <w:sz w:val="22"/>
          <w:szCs w:val="22"/>
        </w:rPr>
        <w:t>.</w:t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beteg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szóbeli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nyilatkozat,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vagy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írásképtelensége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(++)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esetén: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Előttünk,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mint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tanuk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előtt:</w:t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tbl>
      <w:tblPr>
        <w:tblW w:w="1046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80"/>
        <w:gridCol w:w="4184"/>
        <w:gridCol w:w="1649"/>
        <w:gridCol w:w="3060"/>
        <w:gridCol w:w="493"/>
      </w:tblGrid>
      <w:tr>
        <w:trPr/>
        <w:tc>
          <w:tcPr>
            <w:tcW w:w="1080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név:</w:t>
            </w:r>
          </w:p>
        </w:tc>
        <w:tc>
          <w:tcPr>
            <w:tcW w:w="4184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………………………………………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..</w:t>
            </w:r>
          </w:p>
        </w:tc>
        <w:tc>
          <w:tcPr>
            <w:tcW w:w="1649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Szem.ig.szám:</w:t>
              <w:br/>
            </w:r>
          </w:p>
        </w:tc>
        <w:tc>
          <w:tcPr>
            <w:tcW w:w="3060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…………………………………</w:t>
            </w:r>
          </w:p>
        </w:tc>
        <w:tc>
          <w:tcPr>
            <w:tcW w:w="493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név:</w:t>
            </w:r>
          </w:p>
        </w:tc>
        <w:tc>
          <w:tcPr>
            <w:tcW w:w="4184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……………………………………………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..</w:t>
            </w:r>
          </w:p>
        </w:tc>
        <w:tc>
          <w:tcPr>
            <w:tcW w:w="1649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Szem.ig.szám:</w:t>
            </w:r>
          </w:p>
        </w:tc>
        <w:tc>
          <w:tcPr>
            <w:tcW w:w="3060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…………………………………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..</w:t>
            </w:r>
          </w:p>
        </w:tc>
        <w:tc>
          <w:tcPr>
            <w:tcW w:w="493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/>
            </w:pPr>
            <w:r>
              <w:rPr/>
            </w:r>
          </w:p>
        </w:tc>
      </w:tr>
    </w:tbl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jc w:val="center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</w:r>
    </w:p>
    <w:p>
      <w:pPr>
        <w:pStyle w:val="Normal"/>
        <w:jc w:val="both"/>
        <w:rPr>
          <w:rFonts w:cs="Times New Roman"/>
          <w:b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</w:r>
    </w:p>
    <w:p>
      <w:pPr>
        <w:pStyle w:val="Szvegtrzs31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*Az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egészségügyről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szóló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1997.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évi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CLIV.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törvény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rendelkezései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alapján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cselekvőképtelenek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(pl.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gyermek)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esetében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önrendelkezési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jog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nem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gyakorolható!</w:t>
      </w:r>
      <w:r>
        <w:rPr>
          <w:rFonts w:eastAsia="Times New Roman"/>
          <w:sz w:val="22"/>
          <w:szCs w:val="22"/>
        </w:rPr>
        <w:t xml:space="preserve"> </w:t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</w:r>
    </w:p>
    <w:p>
      <w:pPr>
        <w:pStyle w:val="Szvegtrzs21"/>
        <w:spacing w:before="0" w:after="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**A</w:t>
      </w:r>
      <w:r>
        <w:rPr>
          <w:rFonts w:eastAsia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megfelelő</w:t>
      </w:r>
      <w:r>
        <w:rPr>
          <w:rFonts w:eastAsia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rész</w:t>
      </w:r>
      <w:r>
        <w:rPr>
          <w:rFonts w:eastAsia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aláhúzandó</w:t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23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i/>
        <w:b w:val="false"/>
        <w:szCs w:val="24"/>
        <w:rFonts w:cs="Symbol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ymbol" w:cs="Mangal"/>
      <w:color w:val="auto"/>
      <w:kern w:val="0"/>
      <w:sz w:val="24"/>
      <w:szCs w:val="24"/>
      <w:lang w:val="hu-HU" w:eastAsia="hu-HU" w:bidi="hi-IN"/>
    </w:rPr>
  </w:style>
  <w:style w:type="paragraph" w:styleId="Cmsor1">
    <w:name w:val="Heading 1"/>
    <w:basedOn w:val="Normal"/>
    <w:qFormat/>
    <w:pPr>
      <w:keepNext w:val="true"/>
      <w:widowControl w:val="false"/>
      <w:tabs>
        <w:tab w:val="clear" w:pos="708"/>
        <w:tab w:val="left" w:pos="0" w:leader="none"/>
      </w:tabs>
      <w:jc w:val="center"/>
      <w:outlineLvl w:val="0"/>
    </w:pPr>
    <w:rPr>
      <w:b/>
      <w:i/>
      <w:sz w:val="32"/>
      <w:lang w:eastAsia="zh-CN"/>
    </w:rPr>
  </w:style>
  <w:style w:type="paragraph" w:styleId="Cmsor2">
    <w:name w:val="Heading 2"/>
    <w:basedOn w:val="Cmsor"/>
    <w:qFormat/>
    <w:pPr>
      <w:outlineLvl w:val="1"/>
    </w:pPr>
    <w:rPr/>
  </w:style>
  <w:style w:type="paragraph" w:styleId="Cmsor3">
    <w:name w:val="Heading 3"/>
    <w:basedOn w:val="Cmsor"/>
    <w:qFormat/>
    <w:pPr>
      <w:outlineLvl w:val="2"/>
    </w:pPr>
    <w:rPr/>
  </w:style>
  <w:style w:type="character" w:styleId="DefaultParagraphFont" w:customStyle="1">
    <w:name w:val="Default Paragraph Font"/>
    <w:qFormat/>
    <w:rPr/>
  </w:style>
  <w:style w:type="character" w:styleId="WW8Num2z0" w:customStyle="1">
    <w:name w:val="WW8Num2z0"/>
    <w:qFormat/>
    <w:rPr>
      <w:b w:val="false"/>
      <w:i/>
      <w:sz w:val="24"/>
      <w:szCs w:val="24"/>
      <w:lang w:eastAsia="zh-CN"/>
    </w:rPr>
  </w:style>
  <w:style w:type="character" w:styleId="WW8Num3z0" w:customStyle="1">
    <w:name w:val="WW8Num3z0"/>
    <w:qFormat/>
    <w:rPr>
      <w:rFonts w:ascii="Symbol" w:hAnsi="Symbol" w:cs="Symbol"/>
      <w:sz w:val="20"/>
    </w:rPr>
  </w:style>
  <w:style w:type="character" w:styleId="WW8Num4z0" w:customStyle="1">
    <w:name w:val="WW8Num4z0"/>
    <w:qFormat/>
    <w:rPr>
      <w:rFonts w:ascii="Symbol" w:hAnsi="Symbol" w:cs="Symbol"/>
      <w:sz w:val="20"/>
    </w:rPr>
  </w:style>
  <w:style w:type="character" w:styleId="WW8Num5z0" w:customStyle="1">
    <w:name w:val="WW8Num5z0"/>
    <w:qFormat/>
    <w:rPr>
      <w:rFonts w:ascii="Symbol" w:hAnsi="Symbol" w:cs="Symbol"/>
      <w:sz w:val="20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Cmsor1Char" w:customStyle="1">
    <w:name w:val="Címsor 1 Char"/>
    <w:basedOn w:val="DefaultParagraphFont"/>
    <w:qFormat/>
    <w:rPr>
      <w:rFonts w:eastAsia="Times New Roman"/>
      <w:b/>
      <w:i/>
      <w:sz w:val="32"/>
      <w:lang w:val="hu-HU" w:eastAsia="zh-CN"/>
    </w:rPr>
  </w:style>
  <w:style w:type="character" w:styleId="SzvegtrzsbehzssalChar" w:customStyle="1">
    <w:name w:val="Szövegtörzs behúzással Char"/>
    <w:basedOn w:val="DefaultParagraphFont"/>
    <w:qFormat/>
    <w:rPr>
      <w:sz w:val="24"/>
    </w:rPr>
  </w:style>
  <w:style w:type="character" w:styleId="SzvegtrzsChar" w:customStyle="1">
    <w:name w:val="Szövegtörzs Char"/>
    <w:basedOn w:val="DefaultParagraphFont"/>
    <w:qFormat/>
    <w:rPr>
      <w:sz w:val="24"/>
    </w:rPr>
  </w:style>
  <w:style w:type="character" w:styleId="Szvegtrzsbehzssal3Char" w:customStyle="1">
    <w:name w:val="Szövegtörzs behúzással 3 Char"/>
    <w:basedOn w:val="DefaultParagraphFont"/>
    <w:qFormat/>
    <w:rPr>
      <w:sz w:val="16"/>
    </w:rPr>
  </w:style>
  <w:style w:type="character" w:styleId="Szvegtrzsbehzssal2Char" w:customStyle="1">
    <w:name w:val="Szövegtörzs behúzással 2 Char"/>
    <w:basedOn w:val="DefaultParagraphFont"/>
    <w:qFormat/>
    <w:rPr>
      <w:sz w:val="24"/>
    </w:rPr>
  </w:style>
  <w:style w:type="character" w:styleId="LfejChar" w:customStyle="1">
    <w:name w:val="Élőfej Char"/>
    <w:basedOn w:val="DefaultParagraphFont"/>
    <w:qFormat/>
    <w:rPr>
      <w:rFonts w:eastAsia="Times New Roman"/>
      <w:sz w:val="24"/>
      <w:lang w:val="hu-HU" w:eastAsia="zh-CN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057467"/>
    <w:rPr>
      <w:rFonts w:ascii="Tahoma" w:hAnsi="Tahoma" w:eastAsia="Symbol" w:cs="Mangal"/>
      <w:sz w:val="16"/>
      <w:szCs w:val="14"/>
      <w:lang w:bidi="hi-IN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zvegtrzs">
    <w:name w:val="Body Text"/>
    <w:basedOn w:val="Normal"/>
    <w:pPr>
      <w:jc w:val="both"/>
    </w:pPr>
    <w:rPr>
      <w:rFonts w:ascii="Arial" w:hAnsi="Arial" w:cs="Arial"/>
    </w:rPr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DocumentMap" w:customStyle="1">
    <w:name w:val="DocumentMap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ymbol" w:cs="Mangal"/>
      <w:color w:val="auto"/>
      <w:kern w:val="0"/>
      <w:sz w:val="24"/>
      <w:szCs w:val="24"/>
      <w:lang w:val="hu-HU" w:eastAsia="hu-HU" w:bidi="hi-IN"/>
    </w:rPr>
  </w:style>
  <w:style w:type="paragraph" w:styleId="Szvegtrzsbehzsa">
    <w:name w:val="Body Text Indent"/>
    <w:basedOn w:val="Normal"/>
    <w:pPr>
      <w:ind w:left="360" w:hanging="0"/>
    </w:pPr>
    <w:rPr>
      <w:rFonts w:ascii="Arial" w:hAnsi="Arial" w:cs="Arial"/>
    </w:rPr>
  </w:style>
  <w:style w:type="paragraph" w:styleId="BodyTextIndent3" w:customStyle="1">
    <w:name w:val="Body Text Indent 3"/>
    <w:basedOn w:val="Normal"/>
    <w:qFormat/>
    <w:pPr>
      <w:spacing w:lineRule="atLeast" w:line="360"/>
      <w:ind w:left="360" w:hanging="0"/>
      <w:jc w:val="both"/>
    </w:pPr>
    <w:rPr>
      <w:rFonts w:ascii="Arial" w:hAnsi="Arial" w:cs="Arial"/>
    </w:rPr>
  </w:style>
  <w:style w:type="paragraph" w:styleId="BodyTextIndent2" w:customStyle="1">
    <w:name w:val="Body Text Indent 2"/>
    <w:basedOn w:val="Normal"/>
    <w:qFormat/>
    <w:pPr>
      <w:ind w:left="360" w:hanging="0"/>
      <w:jc w:val="both"/>
    </w:pPr>
    <w:rPr>
      <w:rFonts w:ascii="Arial" w:hAnsi="Arial" w:cs="Arial"/>
      <w:sz w:val="22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pPr>
      <w:widowControl w:val="false"/>
      <w:tabs>
        <w:tab w:val="clear" w:pos="708"/>
        <w:tab w:val="center" w:pos="4536" w:leader="none"/>
        <w:tab w:val="right" w:pos="9072" w:leader="none"/>
      </w:tabs>
    </w:pPr>
    <w:rPr>
      <w:lang w:eastAsia="zh-CN"/>
    </w:rPr>
  </w:style>
  <w:style w:type="paragraph" w:styleId="Szvegtrzsbehzssal21" w:customStyle="1">
    <w:name w:val="Szövegtörzs behúzással 21"/>
    <w:basedOn w:val="Normal"/>
    <w:qFormat/>
    <w:pPr>
      <w:widowControl w:val="false"/>
      <w:ind w:left="540" w:hanging="540"/>
    </w:pPr>
    <w:rPr>
      <w:rFonts w:ascii="Tahoma" w:hAnsi="Tahoma" w:eastAsia="Lucida Sans Unicode" w:cs="Tahoma"/>
      <w:sz w:val="22"/>
      <w:lang w:eastAsia="zh-CN"/>
    </w:rPr>
  </w:style>
  <w:style w:type="paragraph" w:styleId="Szvegtrzs31" w:customStyle="1">
    <w:name w:val="Szövegtörzs 31"/>
    <w:basedOn w:val="Normal"/>
    <w:qFormat/>
    <w:pPr>
      <w:widowControl w:val="false"/>
      <w:jc w:val="both"/>
    </w:pPr>
    <w:rPr>
      <w:rFonts w:eastAsia="Lucida Sans Unicode" w:cs="Times New Roman"/>
      <w:b/>
      <w:sz w:val="28"/>
      <w:lang w:eastAsia="zh-CN"/>
    </w:rPr>
  </w:style>
  <w:style w:type="paragraph" w:styleId="Szvegtrzs21" w:customStyle="1">
    <w:name w:val="Szövegtörzs 21"/>
    <w:basedOn w:val="Normal"/>
    <w:qFormat/>
    <w:pPr>
      <w:widowControl w:val="false"/>
      <w:spacing w:before="120" w:after="0"/>
      <w:jc w:val="both"/>
    </w:pPr>
    <w:rPr>
      <w:rFonts w:eastAsia="Lucida Sans Unicode" w:cs="Times New Roman"/>
      <w:sz w:val="28"/>
      <w:lang w:eastAsia="zh-CN"/>
    </w:rPr>
  </w:style>
  <w:style w:type="paragraph" w:styleId="Idzetblokk" w:customStyle="1">
    <w:name w:val="Idézetblokk"/>
    <w:basedOn w:val="Normal"/>
    <w:qFormat/>
    <w:pPr/>
    <w:rPr/>
  </w:style>
  <w:style w:type="paragraph" w:styleId="Cm">
    <w:name w:val="Title"/>
    <w:basedOn w:val="Cmsor"/>
    <w:qFormat/>
    <w:pPr/>
    <w:rPr/>
  </w:style>
  <w:style w:type="paragraph" w:styleId="Alcm">
    <w:name w:val="Subtitle"/>
    <w:basedOn w:val="Cmsor"/>
    <w:qFormat/>
    <w:pPr/>
    <w:rPr/>
  </w:style>
  <w:style w:type="paragraph" w:styleId="Tblzattartalom" w:customStyle="1">
    <w:name w:val="Táblázattartalom"/>
    <w:basedOn w:val="Normal"/>
    <w:qFormat/>
    <w:pPr/>
    <w:rPr/>
  </w:style>
  <w:style w:type="paragraph" w:styleId="Tblzatfejlc" w:customStyle="1">
    <w:name w:val="Táblázatfejléc"/>
    <w:basedOn w:val="Tblzattartalom"/>
    <w:qFormat/>
    <w:pPr/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057467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LibreOffice/6.3.5.2$Linux_X86_64 LibreOffice_project/30$Build-2</Application>
  <Pages>3</Pages>
  <Words>645</Words>
  <Characters>4990</Characters>
  <CharactersWithSpaces>5602</CharactersWithSpaces>
  <Paragraphs>65</Paragraphs>
  <Company>J.A.O.K.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2017-06-24T16:08:00Z</dcterms:created>
  <dc:creator>Gerda Anett</dc:creator>
  <dc:description/>
  <dc:language>hu-HU</dc:language>
  <cp:lastModifiedBy/>
  <cp:lastPrinted>2017-04-10T09:40:00Z</cp:lastPrinted>
  <dcterms:modified xsi:type="dcterms:W3CDTF">2020-08-27T12:14:41Z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J.A.O.K.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Operator">
    <vt:lpwstr>MIR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